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E8" w:rsidRPr="003D5BE8" w:rsidRDefault="003D5BE8" w:rsidP="003D5BE8">
      <w:pPr>
        <w:spacing w:before="300" w:after="150" w:line="240" w:lineRule="auto"/>
        <w:outlineLvl w:val="1"/>
        <w:rPr>
          <w:rFonts w:ascii="inherit" w:eastAsia="Times New Roman" w:hAnsi="inherit" w:cs="Segoe UI"/>
          <w:color w:val="174F75"/>
          <w:sz w:val="45"/>
          <w:szCs w:val="45"/>
          <w:lang w:eastAsia="ru-RU"/>
        </w:rPr>
      </w:pPr>
      <w:bookmarkStart w:id="0" w:name="_GoBack"/>
      <w:bookmarkEnd w:id="0"/>
      <w:r w:rsidRPr="003D5BE8">
        <w:rPr>
          <w:rFonts w:ascii="inherit" w:eastAsia="Times New Roman" w:hAnsi="inherit" w:cs="Segoe UI"/>
          <w:color w:val="174F75"/>
          <w:sz w:val="45"/>
          <w:szCs w:val="45"/>
          <w:lang w:eastAsia="ru-RU"/>
        </w:rPr>
        <w:t>АКТ официального разъяснения пункта 13 «Методики определения нормативов эмиссий в окружающую среду», утвержденной приказом Министерства охраны окружающей среды № 110 от 16 апреля 2012 года</w:t>
      </w:r>
    </w:p>
    <w:p w:rsidR="003D5BE8" w:rsidRPr="003D5BE8" w:rsidRDefault="00510A76" w:rsidP="003D5BE8">
      <w:pPr>
        <w:spacing w:before="225" w:after="75" w:line="240" w:lineRule="auto"/>
        <w:rPr>
          <w:rFonts w:ascii="Segoe UI" w:eastAsia="Times New Roman" w:hAnsi="Segoe UI" w:cs="Segoe UI"/>
          <w:color w:val="FFFFFF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FFFFFF"/>
          <w:sz w:val="21"/>
          <w:szCs w:val="21"/>
          <w:lang w:eastAsia="ru-RU"/>
        </w:rPr>
        <w:pict>
          <v:rect id="_x0000_i1025" style="width:0;height:0" o:hralign="center" o:hrstd="t" o:hr="t" fillcolor="#a0a0a0" stroked="f"/>
        </w:pict>
      </w:r>
    </w:p>
    <w:p w:rsidR="003D5BE8" w:rsidRPr="003D5BE8" w:rsidRDefault="003D5BE8" w:rsidP="003D5BE8">
      <w:pPr>
        <w:spacing w:before="225" w:line="240" w:lineRule="auto"/>
        <w:jc w:val="right"/>
        <w:rPr>
          <w:rFonts w:ascii="Segoe UI" w:eastAsia="Times New Roman" w:hAnsi="Segoe UI" w:cs="Segoe UI"/>
          <w:color w:val="8A8A8A"/>
          <w:sz w:val="21"/>
          <w:szCs w:val="21"/>
          <w:lang w:eastAsia="ru-RU"/>
        </w:rPr>
      </w:pPr>
      <w:r w:rsidRPr="003D5BE8">
        <w:rPr>
          <w:rFonts w:ascii="Segoe UI" w:eastAsia="Times New Roman" w:hAnsi="Segoe UI" w:cs="Segoe UI"/>
          <w:color w:val="8A8A8A"/>
          <w:sz w:val="21"/>
          <w:szCs w:val="21"/>
          <w:lang w:eastAsia="ru-RU"/>
        </w:rPr>
        <w:t> Добавлено: 20 октября 2017, 19:30</w:t>
      </w:r>
      <w:r w:rsidRPr="003D5BE8">
        <w:rPr>
          <w:rFonts w:ascii="Segoe UI" w:eastAsia="Times New Roman" w:hAnsi="Segoe UI" w:cs="Segoe UI"/>
          <w:color w:val="8A8A8A"/>
          <w:sz w:val="21"/>
          <w:szCs w:val="21"/>
          <w:lang w:eastAsia="ru-RU"/>
        </w:rPr>
        <w:br/>
        <w:t>Изменено: 25 октября 2017, 09:39</w:t>
      </w:r>
    </w:p>
    <w:p w:rsidR="003D5BE8" w:rsidRPr="003D5BE8" w:rsidRDefault="003D5BE8" w:rsidP="003D5BE8">
      <w:pPr>
        <w:spacing w:after="150" w:line="240" w:lineRule="auto"/>
        <w:jc w:val="both"/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</w:pPr>
      <w:r w:rsidRPr="003D5BE8"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 xml:space="preserve">г.Астана                                                                                                                                </w:t>
      </w:r>
      <w:r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>                     </w:t>
      </w:r>
      <w:r w:rsidRPr="003D5BE8"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>20.10.2017г.</w:t>
      </w:r>
    </w:p>
    <w:p w:rsidR="003D5BE8" w:rsidRPr="003D5BE8" w:rsidRDefault="003D5BE8" w:rsidP="003D5BE8">
      <w:pPr>
        <w:spacing w:after="150" w:line="240" w:lineRule="auto"/>
        <w:jc w:val="both"/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</w:pPr>
      <w:r w:rsidRPr="003D5BE8"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>Министерство энергетики Республики Казахстан (далее Министерство) рассмотрев обращение Ассоциация профессиональных экологов Казахстана «ЭКОЛОГИЯ» по вопросу применения «Методика определения нормативов эмиссий в окружающую среду» утвержденной приказом Министерства охраны окружающей среды № 110 от 16 апреля 2012 года (далее Методика),  согласно ст.17 Экологического кодекса РК являясь уполномоченным органом в области охраны окружающей среды, руководствуясь статьями 58, 59, 60 Закона РК «О правовых</w:t>
      </w:r>
      <w:r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 xml:space="preserve"> </w:t>
      </w:r>
      <w:r w:rsidRPr="003D5BE8"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>актах» разъясняет следующее.</w:t>
      </w:r>
    </w:p>
    <w:p w:rsidR="003D5BE8" w:rsidRPr="003D5BE8" w:rsidRDefault="003D5BE8" w:rsidP="003D5BE8">
      <w:pPr>
        <w:spacing w:after="150" w:line="240" w:lineRule="auto"/>
        <w:jc w:val="both"/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</w:pPr>
      <w:r w:rsidRPr="003D5BE8"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>Методика определения нормативов эмиссий в окружающую среду, утверждена приказом Министра охраны окружающей среды Республики Казахстан от 16 апреля 2012 года № 110-ө.</w:t>
      </w:r>
    </w:p>
    <w:p w:rsidR="003D5BE8" w:rsidRPr="003D5BE8" w:rsidRDefault="003D5BE8" w:rsidP="003D5BE8">
      <w:pPr>
        <w:spacing w:after="150" w:line="240" w:lineRule="auto"/>
        <w:jc w:val="both"/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</w:pPr>
      <w:r w:rsidRPr="003D5BE8"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>В соответствии с пунктом 13 Методики: «Нормативы выбросов предприятия устанавливаются для условий его нормального функционирования с учётом перспективы развития, то есть загрузки оборудования и режимов его эксплуатации, включая системы и устройства вентиляции и пыле</w:t>
      </w:r>
      <w:r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 xml:space="preserve"> </w:t>
      </w:r>
      <w:r w:rsidRPr="003D5BE8"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>газоочистного оборудования, предусмотренных технологическим регламентом.</w:t>
      </w:r>
    </w:p>
    <w:p w:rsidR="003D5BE8" w:rsidRPr="003D5BE8" w:rsidRDefault="003D5BE8" w:rsidP="003D5BE8">
      <w:pPr>
        <w:spacing w:after="150" w:line="240" w:lineRule="auto"/>
        <w:jc w:val="both"/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</w:pPr>
      <w:r w:rsidRPr="003D5BE8"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>При этом, для действующих предприятий, учитывается фактическая максимальная нагрузка оборудования за последние 2-3 года в пределах показателей, установленных проектом» Министерство исходит из следующего.</w:t>
      </w:r>
    </w:p>
    <w:p w:rsidR="003D5BE8" w:rsidRPr="003D5BE8" w:rsidRDefault="003D5BE8" w:rsidP="003D5BE8">
      <w:pPr>
        <w:spacing w:after="150" w:line="240" w:lineRule="auto"/>
        <w:jc w:val="both"/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</w:pPr>
      <w:r w:rsidRPr="003D5BE8"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>Исходя из прямого смысла нормы права, </w:t>
      </w:r>
      <w:r w:rsidRPr="003D5BE8">
        <w:rPr>
          <w:rFonts w:ascii="Segoe UI" w:eastAsia="Times New Roman" w:hAnsi="Segoe UI" w:cs="Segoe UI"/>
          <w:b/>
          <w:bCs/>
          <w:color w:val="545353"/>
          <w:sz w:val="21"/>
          <w:szCs w:val="21"/>
          <w:lang w:eastAsia="ru-RU"/>
        </w:rPr>
        <w:t>нормативы эмиссий устанавливаются с учётом нормального функционирования предприятия и перспективы его  развития, но при нормировании также учитывается фактическая максимальная нагрузка оборудования за последние 2-3 года.</w:t>
      </w:r>
    </w:p>
    <w:p w:rsidR="003D5BE8" w:rsidRPr="003D5BE8" w:rsidRDefault="003D5BE8" w:rsidP="003D5BE8">
      <w:pPr>
        <w:spacing w:after="150" w:line="240" w:lineRule="auto"/>
        <w:jc w:val="both"/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</w:pPr>
      <w:r w:rsidRPr="003D5BE8"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>В  соответствии со ст. 22 Экологического Кодекса РК (далее - Кодекс) целью экологического нормирования являются регулирование качества окружающей среды и установление допустимого воздействия на нее, обеспечивающих экологическую безопасность, сохранение экологических систем и биологического разнообразия.</w:t>
      </w:r>
    </w:p>
    <w:p w:rsidR="003D5BE8" w:rsidRPr="003D5BE8" w:rsidRDefault="003D5BE8" w:rsidP="003D5BE8">
      <w:pPr>
        <w:spacing w:after="150" w:line="240" w:lineRule="auto"/>
        <w:jc w:val="both"/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</w:pPr>
      <w:r w:rsidRPr="003D5BE8"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>Согласно пункта 4 статьи 28 Кодекса, методика определения нормативов эмиссий расчетным путем утверждается уполномоченным органом в области охраны окружающей среды.</w:t>
      </w:r>
    </w:p>
    <w:p w:rsidR="003D5BE8" w:rsidRPr="003D5BE8" w:rsidRDefault="003D5BE8" w:rsidP="003D5BE8">
      <w:pPr>
        <w:spacing w:after="150" w:line="240" w:lineRule="auto"/>
        <w:jc w:val="both"/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</w:pPr>
      <w:r w:rsidRPr="003D5BE8"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>Согласно п. 10 Методики нормативы эмиссии устанавливаются на основании инвентаризации.</w:t>
      </w:r>
    </w:p>
    <w:p w:rsidR="003D5BE8" w:rsidRPr="003D5BE8" w:rsidRDefault="003D5BE8" w:rsidP="003D5BE8">
      <w:pPr>
        <w:spacing w:after="150" w:line="240" w:lineRule="auto"/>
        <w:jc w:val="both"/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</w:pPr>
      <w:r w:rsidRPr="003D5BE8"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lastRenderedPageBreak/>
        <w:t>Инвентаризация источников выбросов вредных веществ проводится с применением инструментальных или расчетных (расчетно-аналитических) методов.</w:t>
      </w:r>
    </w:p>
    <w:p w:rsidR="003D5BE8" w:rsidRPr="003D5BE8" w:rsidRDefault="003D5BE8" w:rsidP="003D5BE8">
      <w:pPr>
        <w:spacing w:after="150" w:line="240" w:lineRule="auto"/>
        <w:jc w:val="both"/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</w:pPr>
      <w:r w:rsidRPr="003D5BE8"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>При этом в соответствии с пунктом 34 Методики эффективность снижения выбросов вредных веществ для предприятия в целом оценивается по снижению выбросов на источниках, которое во всех технически возможных случаях определяется по данным </w:t>
      </w:r>
      <w:r w:rsidRPr="003D5BE8">
        <w:rPr>
          <w:rFonts w:ascii="Segoe UI" w:eastAsia="Times New Roman" w:hAnsi="Segoe UI" w:cs="Segoe UI"/>
          <w:b/>
          <w:bCs/>
          <w:color w:val="545353"/>
          <w:sz w:val="21"/>
          <w:szCs w:val="21"/>
          <w:lang w:eastAsia="ru-RU"/>
        </w:rPr>
        <w:t>прямых инструментальных замеров.</w:t>
      </w:r>
    </w:p>
    <w:p w:rsidR="003D5BE8" w:rsidRPr="003D5BE8" w:rsidRDefault="003D5BE8" w:rsidP="003D5BE8">
      <w:pPr>
        <w:spacing w:after="150" w:line="240" w:lineRule="auto"/>
        <w:jc w:val="both"/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</w:pPr>
      <w:r w:rsidRPr="003D5BE8"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>В этой связи, пункт 13 Методики является продолжением регуляторного механизма заложенных в вышеуказанных нормах Кодекса и Методики в котором конкретизируется, что для действующих предприятий, при установлении нормативов выбросов учитывается  фактическая максимальная нагрузка оборудования за последние 2-3 года.</w:t>
      </w:r>
    </w:p>
    <w:p w:rsidR="003D5BE8" w:rsidRPr="003D5BE8" w:rsidRDefault="003D5BE8" w:rsidP="003D5BE8">
      <w:pPr>
        <w:spacing w:after="150" w:line="240" w:lineRule="auto"/>
        <w:jc w:val="both"/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</w:pPr>
      <w:r w:rsidRPr="003D5BE8"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>Так, при разработке  проектов нормативов эмиссии в случае отсутствия объективных причин увеличения эмиссий (увеличение производственной мощности, реконструкция с включением новых источников выбросов ЗВ) пункт 13 Методики является обоснованием предлагаемых значений эмиссии, посредством которого регулируется величина снижения нормативов эмиссий.</w:t>
      </w:r>
    </w:p>
    <w:p w:rsidR="003D5BE8" w:rsidRPr="003D5BE8" w:rsidRDefault="003D5BE8" w:rsidP="003D5BE8">
      <w:pPr>
        <w:spacing w:after="150" w:line="240" w:lineRule="auto"/>
        <w:jc w:val="both"/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</w:pPr>
      <w:r w:rsidRPr="003D5BE8"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>Так, например при осуществлении государственной экспертизы проекта ПДВ ТОО «Экибастузская ГРЭС-1 им. Б. Нуржанова» Департаментом экологии по Павлодарской области в учет приняты данные предприятия за последние 3 года, которые составили  165тыс.тонн, при этом ранее установленном</w:t>
      </w:r>
      <w:r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 xml:space="preserve"> </w:t>
      </w:r>
      <w:r w:rsidRPr="003D5BE8"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>объеме выбросов ЗВ 309,03 тыс.</w:t>
      </w:r>
      <w:r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 xml:space="preserve"> </w:t>
      </w:r>
      <w:r w:rsidRPr="003D5BE8"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>тонн.</w:t>
      </w:r>
    </w:p>
    <w:p w:rsidR="003D5BE8" w:rsidRPr="003D5BE8" w:rsidRDefault="003D5BE8" w:rsidP="003D5BE8">
      <w:pPr>
        <w:spacing w:after="150" w:line="240" w:lineRule="auto"/>
        <w:jc w:val="both"/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</w:pPr>
      <w:r w:rsidRPr="003D5BE8"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>В результате применения пункта 13 Методики установленный лимит выбросов составил 209 тыс.тонн (-100 тыс. тонн от прежнего лимита), но он на 43,6  тыс. тонн больше фактического, чем в свою очередь обеспечено нормальное функционирование предприятия и его развитие.</w:t>
      </w:r>
    </w:p>
    <w:p w:rsidR="003D5BE8" w:rsidRPr="003D5BE8" w:rsidRDefault="003D5BE8" w:rsidP="003D5BE8">
      <w:pPr>
        <w:spacing w:after="150" w:line="240" w:lineRule="auto"/>
        <w:jc w:val="both"/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</w:pPr>
      <w:r w:rsidRPr="003D5BE8"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>Аналогично, при проведении государственной экологической экспертизы проекта ПДВ  ТОО «Фирма Ада Ойл» учтены данные предприятия последних трёх лет, в объёме1,45тыс.тонн, при этом ранее установленный объем выбросов составил </w:t>
      </w:r>
      <w:r w:rsidRPr="003D5BE8">
        <w:rPr>
          <w:rFonts w:ascii="Segoe UI" w:eastAsia="Times New Roman" w:hAnsi="Segoe UI" w:cs="Segoe UI"/>
          <w:b/>
          <w:bCs/>
          <w:color w:val="545353"/>
          <w:sz w:val="21"/>
          <w:szCs w:val="21"/>
          <w:lang w:eastAsia="ru-RU"/>
        </w:rPr>
        <w:t>11,27 тыс.</w:t>
      </w:r>
      <w:r>
        <w:rPr>
          <w:rFonts w:ascii="Segoe UI" w:eastAsia="Times New Roman" w:hAnsi="Segoe UI" w:cs="Segoe UI"/>
          <w:b/>
          <w:bCs/>
          <w:color w:val="545353"/>
          <w:sz w:val="21"/>
          <w:szCs w:val="21"/>
          <w:lang w:eastAsia="ru-RU"/>
        </w:rPr>
        <w:t xml:space="preserve"> </w:t>
      </w:r>
      <w:r w:rsidRPr="003D5BE8"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>тонн.</w:t>
      </w:r>
    </w:p>
    <w:p w:rsidR="003D5BE8" w:rsidRPr="003D5BE8" w:rsidRDefault="003D5BE8" w:rsidP="003D5BE8">
      <w:pPr>
        <w:spacing w:after="150" w:line="240" w:lineRule="auto"/>
        <w:jc w:val="both"/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</w:pPr>
      <w:r w:rsidRPr="003D5BE8"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>В результате применения пункта 13 Методики объёмы выбросов снижены на </w:t>
      </w:r>
      <w:r w:rsidRPr="003D5BE8">
        <w:rPr>
          <w:rFonts w:ascii="Segoe UI" w:eastAsia="Times New Roman" w:hAnsi="Segoe UI" w:cs="Segoe UI"/>
          <w:b/>
          <w:bCs/>
          <w:color w:val="545353"/>
          <w:sz w:val="21"/>
          <w:szCs w:val="21"/>
          <w:lang w:eastAsia="ru-RU"/>
        </w:rPr>
        <w:t>9,31 тыс.</w:t>
      </w:r>
      <w:r>
        <w:rPr>
          <w:rFonts w:ascii="Segoe UI" w:eastAsia="Times New Roman" w:hAnsi="Segoe UI" w:cs="Segoe UI"/>
          <w:b/>
          <w:bCs/>
          <w:color w:val="545353"/>
          <w:sz w:val="21"/>
          <w:szCs w:val="21"/>
          <w:lang w:eastAsia="ru-RU"/>
        </w:rPr>
        <w:t xml:space="preserve"> </w:t>
      </w:r>
      <w:r w:rsidRPr="003D5BE8"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>тонн, установленный норматив составил </w:t>
      </w:r>
      <w:r w:rsidRPr="003D5BE8">
        <w:rPr>
          <w:rFonts w:ascii="Segoe UI" w:eastAsia="Times New Roman" w:hAnsi="Segoe UI" w:cs="Segoe UI"/>
          <w:b/>
          <w:bCs/>
          <w:color w:val="545353"/>
          <w:sz w:val="21"/>
          <w:szCs w:val="21"/>
          <w:lang w:eastAsia="ru-RU"/>
        </w:rPr>
        <w:t>1,96 тыс.</w:t>
      </w:r>
      <w:r>
        <w:rPr>
          <w:rFonts w:ascii="Segoe UI" w:eastAsia="Times New Roman" w:hAnsi="Segoe UI" w:cs="Segoe UI"/>
          <w:b/>
          <w:bCs/>
          <w:color w:val="545353"/>
          <w:sz w:val="21"/>
          <w:szCs w:val="21"/>
          <w:lang w:eastAsia="ru-RU"/>
        </w:rPr>
        <w:t xml:space="preserve"> </w:t>
      </w:r>
      <w:r w:rsidRPr="003D5BE8"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>тонн или 26% больше фактического.</w:t>
      </w:r>
    </w:p>
    <w:p w:rsidR="003D5BE8" w:rsidRPr="003D5BE8" w:rsidRDefault="003D5BE8" w:rsidP="003D5BE8">
      <w:pPr>
        <w:spacing w:after="150" w:line="240" w:lineRule="auto"/>
        <w:jc w:val="both"/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</w:pPr>
      <w:r w:rsidRPr="003D5BE8"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>Тем самым практика учета фактических эмиссий позволяет уполномоченному органу устанавливать допустимые нормативы эмиссий, значения которых отражают и учитывают реальную картину воздействия на окружающую среду, с учетом фактического объема производства промышленных предприятий.</w:t>
      </w:r>
    </w:p>
    <w:p w:rsidR="003D5BE8" w:rsidRPr="003D5BE8" w:rsidRDefault="003D5BE8" w:rsidP="003D5BE8">
      <w:pPr>
        <w:spacing w:after="150" w:line="240" w:lineRule="auto"/>
        <w:jc w:val="both"/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</w:pPr>
      <w:r w:rsidRPr="003D5BE8"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>Но при этом, следует учесть, что снижение нормативов эмиссий до уровня фактической нагрузки оборудования законодательство не требует, поскольку не менее важно сохранить предприятию возможность наращивать объемы производства.</w:t>
      </w:r>
    </w:p>
    <w:p w:rsidR="003D5BE8" w:rsidRPr="003D5BE8" w:rsidRDefault="003D5BE8" w:rsidP="003D5BE8">
      <w:pPr>
        <w:spacing w:after="150" w:line="240" w:lineRule="auto"/>
        <w:jc w:val="both"/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</w:pPr>
      <w:r w:rsidRPr="003D5BE8"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>Так например, Карагандинским Департаментом экологии при экспертизе проекта ПДВ ТОО  «KazakhmysEnergy» Жезказганская ТЭЦ (ЖТЭЦ),  учтены данные последних двух лет в объеме 19,3тыс.тонн.</w:t>
      </w:r>
    </w:p>
    <w:p w:rsidR="003D5BE8" w:rsidRPr="003D5BE8" w:rsidRDefault="003D5BE8" w:rsidP="003D5BE8">
      <w:pPr>
        <w:spacing w:after="150" w:line="240" w:lineRule="auto"/>
        <w:jc w:val="both"/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</w:pPr>
      <w:r w:rsidRPr="003D5BE8"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>Однако в связи с увеличением часов работы основного оборудования котельного цеха, а также вводом в эксплуатацию паротурбинной установки теплофикационного типа Т-50/60-8,8 ст. №8) установлены нормативы эмиссий на 2017 год - 24,5 тыс.</w:t>
      </w:r>
      <w:r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 xml:space="preserve"> </w:t>
      </w:r>
      <w:r w:rsidRPr="003D5BE8"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>тонн, на 2018 год – 27,1 тыс.</w:t>
      </w:r>
      <w:r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 xml:space="preserve"> </w:t>
      </w:r>
      <w:r w:rsidRPr="003D5BE8"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>тонн, 2019 год – 26,6 тыс.</w:t>
      </w:r>
      <w:r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 xml:space="preserve"> </w:t>
      </w:r>
      <w:r w:rsidRPr="003D5BE8"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>тонн, 2020 год – 25,9 тыс.</w:t>
      </w:r>
      <w:r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 xml:space="preserve"> </w:t>
      </w:r>
      <w:r w:rsidRPr="003D5BE8"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>тонн.</w:t>
      </w:r>
    </w:p>
    <w:p w:rsidR="003D5BE8" w:rsidRPr="003D5BE8" w:rsidRDefault="003D5BE8" w:rsidP="003D5BE8">
      <w:pPr>
        <w:spacing w:after="150" w:line="240" w:lineRule="auto"/>
        <w:jc w:val="both"/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</w:pPr>
      <w:r w:rsidRPr="003D5BE8"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>То есть, при установлении нормативов для действующих предприятий учитываются</w:t>
      </w:r>
      <w:r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 xml:space="preserve"> </w:t>
      </w:r>
      <w:r w:rsidRPr="003D5BE8"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>и перспектива развития предприятия как это указано на приведенном выше примере.</w:t>
      </w:r>
    </w:p>
    <w:p w:rsidR="003D5BE8" w:rsidRPr="003D5BE8" w:rsidRDefault="003D5BE8" w:rsidP="003D5BE8">
      <w:pPr>
        <w:spacing w:after="150" w:line="240" w:lineRule="auto"/>
        <w:jc w:val="both"/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</w:pPr>
      <w:r w:rsidRPr="003D5BE8"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lastRenderedPageBreak/>
        <w:t>Вместе с тем, имеются факты нормирования, которые противоречат «Методике определения нормативов эмиссий в окружающую среду», утверждённой приказом Министра охраны окружающей среды Республики Казахстан от 16 апреля 2012 года № 110-ө.</w:t>
      </w:r>
    </w:p>
    <w:p w:rsidR="003D5BE8" w:rsidRPr="003D5BE8" w:rsidRDefault="003D5BE8" w:rsidP="003D5BE8">
      <w:pPr>
        <w:spacing w:after="150" w:line="240" w:lineRule="auto"/>
        <w:jc w:val="both"/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</w:pPr>
      <w:r w:rsidRPr="003D5BE8"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>Так, например, для АО ТНК «Казхром» ДГОК был установлен норматив эмиссии в объеме 86,23 тыс. тонн, тогда как фактические выбросы составили 6,1 тыс. тонн или 7 %.</w:t>
      </w:r>
    </w:p>
    <w:p w:rsidR="003D5BE8" w:rsidRPr="003D5BE8" w:rsidRDefault="003D5BE8" w:rsidP="003D5BE8">
      <w:pPr>
        <w:spacing w:after="150" w:line="240" w:lineRule="auto"/>
        <w:jc w:val="both"/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</w:pPr>
      <w:r w:rsidRPr="003D5BE8"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>Аналогичная ситуация для ТОО «KSPSteel» был установлен норматив эмиссии в объеме 12,99 тыс. тонн, тогда как фактические выбросы составили 1,8 тыс. тонн или 14%.</w:t>
      </w:r>
    </w:p>
    <w:p w:rsidR="003D5BE8" w:rsidRPr="003D5BE8" w:rsidRDefault="003D5BE8" w:rsidP="003D5BE8">
      <w:pPr>
        <w:spacing w:after="150" w:line="240" w:lineRule="auto"/>
        <w:jc w:val="both"/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</w:pPr>
      <w:r w:rsidRPr="003D5BE8"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>Считаем недопустимым, установление необоснованно завышенных объемов,  которые многократно превышают фактическую нагрузку оборудования.</w:t>
      </w:r>
    </w:p>
    <w:p w:rsidR="003D5BE8" w:rsidRPr="003D5BE8" w:rsidRDefault="003D5BE8" w:rsidP="003D5BE8">
      <w:pPr>
        <w:spacing w:after="150" w:line="240" w:lineRule="auto"/>
        <w:jc w:val="both"/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</w:pPr>
      <w:r w:rsidRPr="003D5BE8"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>Такое нормирование дает возможность природопользователям избежать сверхнормативных выбросов и уводят природопользователей от обязанностей по внедрению наилучших доступных технологий и применению эффективных  природоохранных мероприятий, улучшающих качество окружающей среды.</w:t>
      </w:r>
    </w:p>
    <w:p w:rsidR="003D5BE8" w:rsidRPr="003D5BE8" w:rsidRDefault="003D5BE8" w:rsidP="003D5BE8">
      <w:pPr>
        <w:spacing w:after="150" w:line="240" w:lineRule="auto"/>
        <w:jc w:val="both"/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</w:pPr>
      <w:r w:rsidRPr="003D5BE8"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>Тем самым, установление нормативов эмиссий для действующих предприятий, </w:t>
      </w:r>
      <w:r w:rsidRPr="003D5BE8">
        <w:rPr>
          <w:rFonts w:ascii="Segoe UI" w:eastAsia="Times New Roman" w:hAnsi="Segoe UI" w:cs="Segoe UI"/>
          <w:b/>
          <w:bCs/>
          <w:color w:val="545353"/>
          <w:sz w:val="21"/>
          <w:szCs w:val="21"/>
          <w:lang w:eastAsia="ru-RU"/>
        </w:rPr>
        <w:t>без учета фактической нагрузки об</w:t>
      </w:r>
      <w:r w:rsidRPr="003D5BE8"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>орудования, без оснований их роста, за исключением расширения/увеличения производства, увеличение планов и объемов горных работ, ввод в эксплуатацию новых источников и т.д., </w:t>
      </w:r>
      <w:r w:rsidRPr="003D5BE8">
        <w:rPr>
          <w:rFonts w:ascii="Segoe UI" w:eastAsia="Times New Roman" w:hAnsi="Segoe UI" w:cs="Segoe UI"/>
          <w:b/>
          <w:bCs/>
          <w:color w:val="545353"/>
          <w:sz w:val="21"/>
          <w:szCs w:val="21"/>
          <w:lang w:eastAsia="ru-RU"/>
        </w:rPr>
        <w:t>недопустимо</w:t>
      </w:r>
      <w:r w:rsidRPr="003D5BE8"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>.</w:t>
      </w:r>
    </w:p>
    <w:p w:rsidR="003D5BE8" w:rsidRPr="003D5BE8" w:rsidRDefault="003D5BE8" w:rsidP="003D5BE8">
      <w:pPr>
        <w:spacing w:after="150" w:line="240" w:lineRule="auto"/>
        <w:jc w:val="both"/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</w:pPr>
      <w:r w:rsidRPr="003D5BE8"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>Это требование установлено ст. 46 ЭК РК - целью экологической экспертизы является </w:t>
      </w:r>
      <w:r w:rsidRPr="003D5BE8">
        <w:rPr>
          <w:rFonts w:ascii="Segoe UI" w:eastAsia="Times New Roman" w:hAnsi="Segoe UI" w:cs="Segoe UI"/>
          <w:b/>
          <w:bCs/>
          <w:color w:val="545353"/>
          <w:sz w:val="21"/>
          <w:szCs w:val="21"/>
          <w:lang w:eastAsia="ru-RU"/>
        </w:rPr>
        <w:t>соблюдение баланса</w:t>
      </w:r>
      <w:r>
        <w:rPr>
          <w:rFonts w:ascii="Segoe UI" w:eastAsia="Times New Roman" w:hAnsi="Segoe UI" w:cs="Segoe UI"/>
          <w:b/>
          <w:bCs/>
          <w:color w:val="545353"/>
          <w:sz w:val="21"/>
          <w:szCs w:val="21"/>
          <w:lang w:eastAsia="ru-RU"/>
        </w:rPr>
        <w:t xml:space="preserve"> </w:t>
      </w:r>
      <w:r w:rsidRPr="003D5BE8">
        <w:rPr>
          <w:rFonts w:ascii="Segoe UI" w:eastAsia="Times New Roman" w:hAnsi="Segoe UI" w:cs="Segoe UI"/>
          <w:b/>
          <w:bCs/>
          <w:color w:val="545353"/>
          <w:sz w:val="21"/>
          <w:szCs w:val="21"/>
          <w:lang w:eastAsia="ru-RU"/>
        </w:rPr>
        <w:t>интересов экономического развития и охраны окружающей среды</w:t>
      </w:r>
      <w:r w:rsidRPr="003D5BE8"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>, а также предотвращения ущерба третьим лицам в процессе природопользования.   </w:t>
      </w:r>
    </w:p>
    <w:p w:rsidR="003D5BE8" w:rsidRPr="003D5BE8" w:rsidRDefault="003D5BE8" w:rsidP="003D5BE8">
      <w:pPr>
        <w:spacing w:after="150" w:line="240" w:lineRule="auto"/>
        <w:jc w:val="both"/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</w:pPr>
      <w:r w:rsidRPr="003D5BE8">
        <w:rPr>
          <w:rFonts w:ascii="Segoe UI" w:eastAsia="Times New Roman" w:hAnsi="Segoe UI" w:cs="Segoe UI"/>
          <w:b/>
          <w:bCs/>
          <w:color w:val="545353"/>
          <w:sz w:val="21"/>
          <w:szCs w:val="21"/>
          <w:lang w:eastAsia="ru-RU"/>
        </w:rPr>
        <w:t>На основании изложенного, в соответствии с  пунктом 3 ст. 60 Закона РК «О правовых актах»</w:t>
      </w:r>
      <w:r>
        <w:rPr>
          <w:rFonts w:ascii="Segoe UI" w:eastAsia="Times New Roman" w:hAnsi="Segoe UI" w:cs="Segoe UI"/>
          <w:b/>
          <w:bCs/>
          <w:color w:val="545353"/>
          <w:sz w:val="21"/>
          <w:szCs w:val="21"/>
          <w:lang w:eastAsia="ru-RU"/>
        </w:rPr>
        <w:t xml:space="preserve"> </w:t>
      </w:r>
      <w:r w:rsidRPr="003D5BE8"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>уполномоченный орган в области охраны окружающей среды разъясняет, что  пункт 13 Методики должен применяться во всех случаях, при установлении нормативов эмиссий действующим предприятиям, с учетом баланса интересов экономического развития и охраны окружающей среды, т.е. с учетом максимальной нагрузки оборудования на последние 2-3 года, при</w:t>
      </w:r>
      <w:r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 xml:space="preserve"> </w:t>
      </w:r>
      <w:r w:rsidRPr="003D5BE8"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>условии</w:t>
      </w:r>
      <w:r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 xml:space="preserve"> </w:t>
      </w:r>
      <w:r w:rsidRPr="003D5BE8"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>нормального функционирования  и развития предприятия.</w:t>
      </w:r>
    </w:p>
    <w:p w:rsidR="003D5BE8" w:rsidRPr="003D5BE8" w:rsidRDefault="003D5BE8" w:rsidP="003D5BE8">
      <w:pPr>
        <w:spacing w:after="150" w:line="240" w:lineRule="auto"/>
        <w:jc w:val="both"/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</w:pPr>
      <w:r w:rsidRPr="003D5BE8"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>Для предприятий планирующих производственную деятельность, расширение производственных мощностей (реконструкция, модернизация), установление нормативов эмиссий в соответствии с п.13 (в части учета 2-3 летней загрузки) не применяется.</w:t>
      </w:r>
    </w:p>
    <w:p w:rsidR="003D5BE8" w:rsidRPr="003D5BE8" w:rsidRDefault="003D5BE8" w:rsidP="003D5BE8">
      <w:pPr>
        <w:spacing w:after="150" w:line="240" w:lineRule="auto"/>
        <w:jc w:val="both"/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</w:pPr>
      <w:r w:rsidRPr="003D5BE8"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>Согласно п.5 ст. 58  Закона </w:t>
      </w:r>
      <w:r w:rsidRPr="003D5BE8">
        <w:rPr>
          <w:rFonts w:ascii="Segoe UI" w:eastAsia="Times New Roman" w:hAnsi="Segoe UI" w:cs="Segoe UI"/>
          <w:b/>
          <w:bCs/>
          <w:color w:val="545353"/>
          <w:sz w:val="21"/>
          <w:szCs w:val="21"/>
          <w:lang w:eastAsia="ru-RU"/>
        </w:rPr>
        <w:t>РК «О правовых актах»</w:t>
      </w:r>
      <w:r w:rsidRPr="003D5BE8"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> данное официальное разъяснение </w:t>
      </w:r>
      <w:r w:rsidRPr="003D5BE8">
        <w:rPr>
          <w:rFonts w:ascii="Segoe UI" w:eastAsia="Times New Roman" w:hAnsi="Segoe UI" w:cs="Segoe UI"/>
          <w:b/>
          <w:bCs/>
          <w:color w:val="545353"/>
          <w:sz w:val="21"/>
          <w:szCs w:val="21"/>
          <w:lang w:eastAsia="ru-RU"/>
        </w:rPr>
        <w:t>имеет обязательный характер.</w:t>
      </w:r>
    </w:p>
    <w:p w:rsidR="003D5BE8" w:rsidRPr="003D5BE8" w:rsidRDefault="003D5BE8" w:rsidP="003D5BE8">
      <w:pPr>
        <w:spacing w:after="150" w:line="240" w:lineRule="auto"/>
        <w:jc w:val="both"/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</w:pPr>
      <w:r w:rsidRPr="003D5BE8"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  <w:t> </w:t>
      </w:r>
    </w:p>
    <w:p w:rsidR="003D5BE8" w:rsidRPr="003D5BE8" w:rsidRDefault="003D5BE8" w:rsidP="003D5BE8">
      <w:pPr>
        <w:spacing w:after="150" w:line="240" w:lineRule="auto"/>
        <w:rPr>
          <w:rFonts w:ascii="Segoe UI" w:eastAsia="Times New Roman" w:hAnsi="Segoe UI" w:cs="Segoe UI"/>
          <w:color w:val="545353"/>
          <w:sz w:val="21"/>
          <w:szCs w:val="21"/>
          <w:lang w:eastAsia="ru-RU"/>
        </w:rPr>
      </w:pPr>
      <w:r w:rsidRPr="003D5BE8">
        <w:rPr>
          <w:rFonts w:ascii="Segoe UI" w:eastAsia="Times New Roman" w:hAnsi="Segoe UI" w:cs="Segoe UI"/>
          <w:b/>
          <w:bCs/>
          <w:color w:val="545353"/>
          <w:sz w:val="21"/>
          <w:szCs w:val="21"/>
          <w:lang w:eastAsia="ru-RU"/>
        </w:rPr>
        <w:t>Министерство</w:t>
      </w:r>
      <w:r>
        <w:rPr>
          <w:rFonts w:ascii="Segoe UI" w:eastAsia="Times New Roman" w:hAnsi="Segoe UI" w:cs="Segoe UI"/>
          <w:b/>
          <w:bCs/>
          <w:color w:val="545353"/>
          <w:sz w:val="21"/>
          <w:szCs w:val="21"/>
          <w:lang w:eastAsia="ru-RU"/>
        </w:rPr>
        <w:t xml:space="preserve"> </w:t>
      </w:r>
      <w:r w:rsidRPr="003D5BE8">
        <w:rPr>
          <w:rFonts w:ascii="Segoe UI" w:eastAsia="Times New Roman" w:hAnsi="Segoe UI" w:cs="Segoe UI"/>
          <w:b/>
          <w:bCs/>
          <w:color w:val="545353"/>
          <w:sz w:val="21"/>
          <w:szCs w:val="21"/>
          <w:lang w:eastAsia="ru-RU"/>
        </w:rPr>
        <w:t>энергетики</w:t>
      </w:r>
      <w:r w:rsidRPr="003D5BE8">
        <w:rPr>
          <w:rFonts w:ascii="Segoe UI" w:eastAsia="Times New Roman" w:hAnsi="Segoe UI" w:cs="Segoe UI"/>
          <w:b/>
          <w:bCs/>
          <w:color w:val="545353"/>
          <w:sz w:val="21"/>
          <w:szCs w:val="21"/>
          <w:lang w:eastAsia="ru-RU"/>
        </w:rPr>
        <w:br/>
        <w:t>Республики Казахстан</w:t>
      </w:r>
    </w:p>
    <w:p w:rsidR="00B4202A" w:rsidRDefault="00B4202A"/>
    <w:sectPr w:rsidR="00B4202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76" w:rsidRDefault="00510A76" w:rsidP="003D5BE8">
      <w:pPr>
        <w:spacing w:after="0" w:line="240" w:lineRule="auto"/>
      </w:pPr>
      <w:r>
        <w:separator/>
      </w:r>
    </w:p>
  </w:endnote>
  <w:endnote w:type="continuationSeparator" w:id="0">
    <w:p w:rsidR="00510A76" w:rsidRDefault="00510A76" w:rsidP="003D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76" w:rsidRDefault="00510A76" w:rsidP="003D5BE8">
      <w:pPr>
        <w:spacing w:after="0" w:line="240" w:lineRule="auto"/>
      </w:pPr>
      <w:r>
        <w:separator/>
      </w:r>
    </w:p>
  </w:footnote>
  <w:footnote w:type="continuationSeparator" w:id="0">
    <w:p w:rsidR="00510A76" w:rsidRDefault="00510A76" w:rsidP="003D5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BE8" w:rsidRDefault="003D5BE8">
    <w:pPr>
      <w:pStyle w:val="a5"/>
    </w:pPr>
    <w:r>
      <w:t xml:space="preserve">Источник: </w:t>
    </w:r>
    <w:r w:rsidRPr="003D5BE8">
      <w:t>http://cerc.energo.gov.kz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E2"/>
    <w:rsid w:val="000F45E2"/>
    <w:rsid w:val="003D5BE8"/>
    <w:rsid w:val="00510A76"/>
    <w:rsid w:val="00605BE7"/>
    <w:rsid w:val="00B4202A"/>
    <w:rsid w:val="00EA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5B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5B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BE8"/>
    <w:rPr>
      <w:b/>
      <w:bCs/>
    </w:rPr>
  </w:style>
  <w:style w:type="paragraph" w:styleId="a5">
    <w:name w:val="header"/>
    <w:basedOn w:val="a"/>
    <w:link w:val="a6"/>
    <w:uiPriority w:val="99"/>
    <w:unhideWhenUsed/>
    <w:rsid w:val="003D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5BE8"/>
  </w:style>
  <w:style w:type="paragraph" w:styleId="a7">
    <w:name w:val="footer"/>
    <w:basedOn w:val="a"/>
    <w:link w:val="a8"/>
    <w:uiPriority w:val="99"/>
    <w:unhideWhenUsed/>
    <w:rsid w:val="003D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5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5B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5B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BE8"/>
    <w:rPr>
      <w:b/>
      <w:bCs/>
    </w:rPr>
  </w:style>
  <w:style w:type="paragraph" w:styleId="a5">
    <w:name w:val="header"/>
    <w:basedOn w:val="a"/>
    <w:link w:val="a6"/>
    <w:uiPriority w:val="99"/>
    <w:unhideWhenUsed/>
    <w:rsid w:val="003D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5BE8"/>
  </w:style>
  <w:style w:type="paragraph" w:styleId="a7">
    <w:name w:val="footer"/>
    <w:basedOn w:val="a"/>
    <w:link w:val="a8"/>
    <w:uiPriority w:val="99"/>
    <w:unhideWhenUsed/>
    <w:rsid w:val="003D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5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2018-02-03T23:09:00Z</dcterms:created>
  <dcterms:modified xsi:type="dcterms:W3CDTF">2018-02-03T23:09:00Z</dcterms:modified>
</cp:coreProperties>
</file>